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276A" w:rsidRDefault="00A92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A9276A" w:rsidRDefault="00FA24E6">
      <w:pPr>
        <w:widowControl w:val="0"/>
        <w:tabs>
          <w:tab w:val="left" w:pos="9639"/>
        </w:tabs>
        <w:spacing w:line="240" w:lineRule="auto"/>
        <w:jc w:val="center"/>
      </w:pPr>
      <w:r>
        <w:rPr>
          <w:noProof/>
        </w:rPr>
        <w:drawing>
          <wp:inline distT="0" distB="0" distL="114300" distR="114300">
            <wp:extent cx="1028700" cy="838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9276A" w:rsidRDefault="00FA24E6">
      <w:pPr>
        <w:widowControl w:val="0"/>
        <w:spacing w:line="240" w:lineRule="auto"/>
        <w:ind w:left="-344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    МІНІСТЕРСТВО  ОСВІТИ  І  НАУКИ  УКРАЇНИ</w:t>
      </w:r>
    </w:p>
    <w:p w:rsidR="00A9276A" w:rsidRDefault="00FA24E6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пр. Перемоги, 10, м. Київ, 01135,  тел. (044) 481- 32 -21, факс (044) 236-1049</w:t>
      </w:r>
    </w:p>
    <w:p w:rsidR="00A9276A" w:rsidRPr="00FA24E6" w:rsidRDefault="00FA24E6">
      <w:pPr>
        <w:widowControl w:val="0"/>
        <w:spacing w:line="240" w:lineRule="auto"/>
        <w:jc w:val="center"/>
        <w:rPr>
          <w:lang w:val="en-US"/>
        </w:rPr>
      </w:pPr>
      <w:r w:rsidRPr="00FA24E6"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en-US"/>
        </w:rPr>
        <w:t xml:space="preserve">E-mail: </w:t>
      </w:r>
      <w:hyperlink r:id="rId6">
        <w:r w:rsidRPr="00FA24E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ministry@mon.gov.ua</w:t>
        </w:r>
      </w:hyperlink>
      <w:r w:rsidRPr="00FA24E6"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код</w:t>
      </w:r>
      <w:r w:rsidRPr="00FA24E6"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ЄДРПОУ</w:t>
      </w:r>
      <w:r w:rsidRPr="00FA24E6"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en-US"/>
        </w:rPr>
        <w:t xml:space="preserve"> 38621185</w:t>
      </w:r>
    </w:p>
    <w:p w:rsidR="00A9276A" w:rsidRPr="00FA24E6" w:rsidRDefault="00A9276A">
      <w:pPr>
        <w:widowControl w:val="0"/>
        <w:spacing w:line="240" w:lineRule="auto"/>
        <w:rPr>
          <w:lang w:val="en-US"/>
        </w:rPr>
      </w:pPr>
    </w:p>
    <w:p w:rsidR="00A9276A" w:rsidRPr="00FA24E6" w:rsidRDefault="00FA24E6">
      <w:pPr>
        <w:widowControl w:val="0"/>
        <w:spacing w:line="240" w:lineRule="auto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Square wrapText="bothSides" distT="0" distB="0" distL="114300" distR="114300"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6A" w:rsidRPr="00FA24E6" w:rsidRDefault="00A9276A">
      <w:pPr>
        <w:widowControl w:val="0"/>
        <w:spacing w:line="240" w:lineRule="auto"/>
        <w:rPr>
          <w:lang w:val="en-US"/>
        </w:rPr>
      </w:pPr>
    </w:p>
    <w:p w:rsidR="00A9276A" w:rsidRPr="00FA24E6" w:rsidRDefault="00FA24E6">
      <w:pPr>
        <w:widowControl w:val="0"/>
        <w:spacing w:line="240" w:lineRule="auto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25400"/>
                <wp:effectExtent l="0" t="0" r="0" b="0"/>
                <wp:wrapSquare wrapText="bothSides" distT="0" distB="0" distL="114300" distR="114300"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FF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25400"/>
                <wp:effectExtent b="0" l="0" r="0" t="0"/>
                <wp:wrapSquare wrapText="bothSides" distB="0" distT="0" distL="114300" distR="114300"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6A" w:rsidRPr="00FA24E6" w:rsidRDefault="00A9276A">
      <w:pPr>
        <w:widowControl w:val="0"/>
        <w:spacing w:line="240" w:lineRule="auto"/>
        <w:rPr>
          <w:lang w:val="en-US"/>
        </w:rPr>
      </w:pPr>
    </w:p>
    <w:p w:rsidR="00A9276A" w:rsidRDefault="00FA24E6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Від _12.10.2015_№  _1/9-487_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12700" cy="12700"/>
                <wp:effectExtent l="0" t="0" r="0" b="0"/>
                <wp:wrapSquare wrapText="bothSides" distT="0" distB="0" distL="114300" distR="114300"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Square wrapText="bothSides" distB="0" distT="0" distL="114300" distR="114300"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6A" w:rsidRDefault="00FA24E6">
      <w:pPr>
        <w:spacing w:line="240" w:lineRule="auto"/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На №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від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ab/>
        <w:t xml:space="preserve">      </w:t>
      </w:r>
    </w:p>
    <w:p w:rsidR="00A9276A" w:rsidRDefault="00A9276A">
      <w:pPr>
        <w:widowControl w:val="0"/>
        <w:spacing w:line="240" w:lineRule="auto"/>
        <w:jc w:val="center"/>
      </w:pPr>
    </w:p>
    <w:p w:rsidR="00A9276A" w:rsidRDefault="00A9276A">
      <w:pPr>
        <w:spacing w:line="240" w:lineRule="auto"/>
      </w:pPr>
    </w:p>
    <w:p w:rsidR="00A9276A" w:rsidRDefault="00A92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A9276A" w:rsidRDefault="00A92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A9276A" w:rsidRDefault="00FA24E6">
      <w:pPr>
        <w:tabs>
          <w:tab w:val="left" w:pos="1080"/>
        </w:tabs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Департаменти (управління) освіти і науки</w:t>
      </w:r>
    </w:p>
    <w:p w:rsidR="00A9276A" w:rsidRDefault="00FA24E6">
      <w:pPr>
        <w:tabs>
          <w:tab w:val="left" w:pos="1080"/>
        </w:tabs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(молоді та спорту) обласних, Київської  </w:t>
      </w:r>
    </w:p>
    <w:p w:rsidR="00A9276A" w:rsidRDefault="00FA24E6">
      <w:pPr>
        <w:tabs>
          <w:tab w:val="left" w:pos="1080"/>
        </w:tabs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міської державних адміністрацій                        </w:t>
      </w:r>
    </w:p>
    <w:p w:rsidR="00A9276A" w:rsidRDefault="00A92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A9276A" w:rsidRDefault="00FA24E6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9276A" w:rsidRDefault="00FA24E6">
      <w:pPr>
        <w:tabs>
          <w:tab w:val="left" w:pos="4332"/>
        </w:tabs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9276A" w:rsidRDefault="00FA24E6">
      <w:pPr>
        <w:keepNext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Щодо організації діяльності</w:t>
      </w:r>
    </w:p>
    <w:p w:rsidR="00A9276A" w:rsidRDefault="00FA24E6">
      <w:pPr>
        <w:keepNext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інклюзивних груп </w:t>
      </w:r>
    </w:p>
    <w:p w:rsidR="00A9276A" w:rsidRDefault="00FA24E6">
      <w:pPr>
        <w:keepNext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 дошкільних навчальних закладах</w:t>
      </w:r>
    </w:p>
    <w:p w:rsidR="00A9276A" w:rsidRDefault="00A9276A">
      <w:pPr>
        <w:keepNext/>
        <w:spacing w:line="240" w:lineRule="auto"/>
        <w:jc w:val="both"/>
      </w:pPr>
    </w:p>
    <w:p w:rsidR="00A9276A" w:rsidRDefault="00A9276A">
      <w:pPr>
        <w:spacing w:line="240" w:lineRule="auto"/>
      </w:pPr>
    </w:p>
    <w:p w:rsidR="00A9276A" w:rsidRDefault="00FA24E6">
      <w:pPr>
        <w:keepNext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освіти і науки надсилає інструктивно-методичні  рекомендації  щодо організації  діяльності  інклюзивних груп у дошкільних навчальних закладах.</w:t>
      </w:r>
    </w:p>
    <w:p w:rsidR="00A9276A" w:rsidRDefault="00FA24E6">
      <w:pPr>
        <w:keepNext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Просимо довести заз</w:t>
      </w:r>
      <w:r>
        <w:rPr>
          <w:rFonts w:ascii="Times New Roman" w:eastAsia="Times New Roman" w:hAnsi="Times New Roman" w:cs="Times New Roman"/>
          <w:sz w:val="28"/>
          <w:szCs w:val="28"/>
        </w:rPr>
        <w:t>начену інформацію до відома працівників обласних, районних (міських) управлінь (відділів) освіти і науки, керівників та педагогічних працівників дошкільних навчальних закладів.</w:t>
      </w:r>
    </w:p>
    <w:p w:rsidR="00A9276A" w:rsidRDefault="00FA24E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Додатки: на 5 арк.</w:t>
      </w:r>
    </w:p>
    <w:p w:rsidR="00A9276A" w:rsidRDefault="00A9276A">
      <w:pPr>
        <w:jc w:val="both"/>
      </w:pPr>
    </w:p>
    <w:p w:rsidR="00A9276A" w:rsidRDefault="00FA24E6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0" hidden="0" allowOverlap="0">
            <wp:simplePos x="0" y="0"/>
            <wp:positionH relativeFrom="margin">
              <wp:posOffset>1943100</wp:posOffset>
            </wp:positionH>
            <wp:positionV relativeFrom="paragraph">
              <wp:posOffset>158750</wp:posOffset>
            </wp:positionV>
            <wp:extent cx="2514600" cy="1190625"/>
            <wp:effectExtent l="0" t="0" r="0" b="0"/>
            <wp:wrapNone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276A" w:rsidRDefault="00A9276A">
      <w:pPr>
        <w:spacing w:line="240" w:lineRule="auto"/>
        <w:jc w:val="both"/>
      </w:pPr>
    </w:p>
    <w:p w:rsidR="00A9276A" w:rsidRDefault="00FA24E6">
      <w:pPr>
        <w:tabs>
          <w:tab w:val="left" w:pos="594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Заступник Міністра –</w:t>
      </w:r>
    </w:p>
    <w:p w:rsidR="00A9276A" w:rsidRDefault="00FA24E6">
      <w:pPr>
        <w:tabs>
          <w:tab w:val="left" w:pos="594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керівник апарату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Олег Дерев’янко </w:t>
      </w:r>
    </w:p>
    <w:p w:rsidR="00A9276A" w:rsidRDefault="00A9276A">
      <w:pPr>
        <w:spacing w:line="240" w:lineRule="auto"/>
        <w:jc w:val="right"/>
      </w:pPr>
    </w:p>
    <w:p w:rsidR="00A9276A" w:rsidRDefault="00A9276A">
      <w:pPr>
        <w:spacing w:line="240" w:lineRule="auto"/>
        <w:jc w:val="right"/>
      </w:pPr>
    </w:p>
    <w:p w:rsidR="00A9276A" w:rsidRDefault="00A9276A">
      <w:pPr>
        <w:spacing w:line="240" w:lineRule="auto"/>
        <w:jc w:val="right"/>
      </w:pPr>
    </w:p>
    <w:p w:rsidR="00A9276A" w:rsidRDefault="00A9276A">
      <w:pPr>
        <w:spacing w:line="240" w:lineRule="auto"/>
        <w:jc w:val="right"/>
      </w:pPr>
    </w:p>
    <w:p w:rsidR="00A9276A" w:rsidRDefault="00A9276A">
      <w:pPr>
        <w:spacing w:line="240" w:lineRule="auto"/>
        <w:jc w:val="right"/>
      </w:pPr>
    </w:p>
    <w:p w:rsidR="00A9276A" w:rsidRDefault="00A9276A">
      <w:pPr>
        <w:spacing w:line="240" w:lineRule="auto"/>
        <w:jc w:val="right"/>
      </w:pPr>
    </w:p>
    <w:p w:rsidR="00A9276A" w:rsidRDefault="00FA24E6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Грищенко Г. А., </w:t>
      </w:r>
    </w:p>
    <w:p w:rsidR="00A9276A" w:rsidRDefault="00FA24E6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481-32-00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9276A" w:rsidRDefault="00A9276A">
      <w:pPr>
        <w:keepNext/>
        <w:spacing w:line="240" w:lineRule="auto"/>
        <w:ind w:firstLine="720"/>
        <w:jc w:val="right"/>
      </w:pPr>
    </w:p>
    <w:p w:rsidR="00A9276A" w:rsidRDefault="00FA24E6">
      <w:pPr>
        <w:keepNext/>
        <w:spacing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Додаток до листа МОН</w:t>
      </w:r>
    </w:p>
    <w:p w:rsidR="00A9276A" w:rsidRDefault="00FA24E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від 12.10.2015 року № 1/9-487</w:t>
      </w:r>
    </w:p>
    <w:p w:rsidR="00A9276A" w:rsidRDefault="00A9276A">
      <w:pPr>
        <w:spacing w:line="240" w:lineRule="auto"/>
      </w:pPr>
    </w:p>
    <w:p w:rsidR="00A9276A" w:rsidRDefault="00FA24E6">
      <w:pPr>
        <w:keepNext/>
        <w:spacing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Інструктивно-методичні  рекомендації </w:t>
      </w:r>
    </w:p>
    <w:p w:rsidR="00A9276A" w:rsidRDefault="00FA24E6">
      <w:pPr>
        <w:keepNext/>
        <w:spacing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щодо організації  діяльності  інклюзивних груп </w:t>
      </w:r>
    </w:p>
    <w:p w:rsidR="00A9276A" w:rsidRDefault="00FA24E6">
      <w:pPr>
        <w:keepNext/>
        <w:spacing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дошкільних навчальних закладах</w:t>
      </w:r>
    </w:p>
    <w:p w:rsidR="00A9276A" w:rsidRDefault="00A9276A">
      <w:pPr>
        <w:spacing w:line="240" w:lineRule="auto"/>
      </w:pPr>
    </w:p>
    <w:p w:rsidR="00A9276A" w:rsidRDefault="00FA24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Інструктивно-методичні рекомендації розроблено з метою реалізації Закону України «Про дошкільну освіту», Положення про дошкільний навчальний заклад, Порядку комплектування інклюзивних груп у дошкільних навчальних закладах та інших нормативно-правових акті</w:t>
      </w:r>
      <w:r>
        <w:rPr>
          <w:rFonts w:ascii="Times New Roman" w:eastAsia="Times New Roman" w:hAnsi="Times New Roman" w:cs="Times New Roman"/>
          <w:sz w:val="28"/>
          <w:szCs w:val="28"/>
        </w:rPr>
        <w:t>в, що регламентують розвиток інклюзивної освіти.</w:t>
      </w:r>
    </w:p>
    <w:p w:rsidR="00A9276A" w:rsidRDefault="00FA24E6">
      <w:pPr>
        <w:tabs>
          <w:tab w:val="left" w:pos="72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Інклюзивні групи можуть створюватися у дошкільних навчальних закладах України незалежно від підпорядкування та форми власності. </w:t>
      </w:r>
    </w:p>
    <w:p w:rsidR="00A9276A" w:rsidRDefault="00FA24E6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Особливістю організації інклюзивної групи в дошкільному навчальному закладі є забезпечення рівного  доступу  до дошкільної освіти дітей з особливими освітніми потребами, у тому числі з інвалідністю.</w:t>
      </w:r>
    </w:p>
    <w:p w:rsidR="00A9276A" w:rsidRDefault="00FA24E6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Навчально-виховний процес здійснюється на основі застосування особистісно-орієнтованих методів навчання з урахуванням індивідуальних особливостей навчально-пізнавальної діяльності таких дітей.</w:t>
      </w:r>
    </w:p>
    <w:p w:rsidR="00A9276A" w:rsidRDefault="00FA24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Рішення про утворення інклюзивної групи (груп) у дошк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ільному навчальному закладі, незалежно від підпорядкування та форми власності, приймається керівником дошкільного навчального закладу за погодженням із засновником (власником) на підставі заяви батьків дитини з особливими освітніми потребами, у тому числі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інвалідністю, або особи, яка їх замінює. </w:t>
      </w:r>
    </w:p>
    <w:p w:rsidR="00A9276A" w:rsidRDefault="00FA24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Батьки або особи, які їх замінюють, мають право вибирати територіально найближчий до місця проживання дитини з особливими освітніми потребами, у тому числі з інвалідністю дошкільний навчальний заклад, в якому 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тина буде здобувати дошкільну освіту. </w:t>
      </w:r>
    </w:p>
    <w:p w:rsidR="00A9276A" w:rsidRDefault="00FA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До заяви батьків або осіб, які  їх замінюють, додаються: медична довідка про стан здоров'я дитини з висновком лікаря, що дитина може відвідувати дошкільний навчальний заклад, довідка дільничного лікаря про </w:t>
      </w:r>
      <w:r>
        <w:rPr>
          <w:rFonts w:ascii="Times New Roman" w:eastAsia="Times New Roman" w:hAnsi="Times New Roman" w:cs="Times New Roman"/>
          <w:sz w:val="28"/>
          <w:szCs w:val="28"/>
        </w:rPr>
        <w:t>епідеміологічне оточення, свідоцтво про народження, висновок психолого-медико-педагогічної консультації, копія посвідчення особи, яка одержує державну соціальну допомогу, відповідно до Закону України «Про державну соціальну допомогу інвалідам з дитинства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дітям-інвалідам» або копія  медичного висновку про дитину-інваліда віком до 18 років (виданого лікарсько-консультативною комісією), копія індивідуальної програми реабілітації дитини-інваліда.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9276A" w:rsidRDefault="00FA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Комплектуються інклюзивні групи відповідно до нормативів, в</w:t>
      </w:r>
      <w:r>
        <w:rPr>
          <w:rFonts w:ascii="Times New Roman" w:eastAsia="Times New Roman" w:hAnsi="Times New Roman" w:cs="Times New Roman"/>
          <w:sz w:val="28"/>
          <w:szCs w:val="28"/>
        </w:rPr>
        <w:t>изначених Положенням про дошкільний навчальний заклад та Порядком комплектування інклюзивних груп у дошкільних навчальних закладах, санітарно-гігієнічних норм і правил утримання дітей у дошкільних навчальних закладах з урахуванням вікових (одновікові, різн</w:t>
      </w:r>
      <w:r>
        <w:rPr>
          <w:rFonts w:ascii="Times New Roman" w:eastAsia="Times New Roman" w:hAnsi="Times New Roman" w:cs="Times New Roman"/>
          <w:sz w:val="28"/>
          <w:szCs w:val="28"/>
        </w:rPr>
        <w:t>овікові), сімейних ознак та особливих освітніх потреб дітей і побажань батьків або осіб, які їх замінюють.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9276A" w:rsidRDefault="00FA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Адміністрація дошкільного навчального закладу інформує батьків   дітей, що відвідують заклад щодо особливостей інклюзивного навчання, ці</w:t>
      </w:r>
      <w:r>
        <w:rPr>
          <w:rFonts w:ascii="Times New Roman" w:eastAsia="Times New Roman" w:hAnsi="Times New Roman" w:cs="Times New Roman"/>
          <w:sz w:val="28"/>
          <w:szCs w:val="28"/>
        </w:rPr>
        <w:t>лей та завдань, переваг  інклюзії для всіх суб’єктів навчально-виховного процесу. Для батьків проводяться тематичні бесіди та надаються вичерпні роз’яснення щодо врахування особливостей розвитку дітей з особливими освітніми потребами, залучених в інклюзивн</w:t>
      </w:r>
      <w:r>
        <w:rPr>
          <w:rFonts w:ascii="Times New Roman" w:eastAsia="Times New Roman" w:hAnsi="Times New Roman" w:cs="Times New Roman"/>
          <w:sz w:val="28"/>
          <w:szCs w:val="28"/>
        </w:rPr>
        <w:t>і групи. Це сприятиме формуванню батьківської компетентності у спілкування з дітьми під час обговорення питань, що виникають унаслідок спілкування та групової взаємодії в дитячому колективі. Поінформованість всіх батьків сприятиме формуванню інклюзивних ці</w:t>
      </w:r>
      <w:r>
        <w:rPr>
          <w:rFonts w:ascii="Times New Roman" w:eastAsia="Times New Roman" w:hAnsi="Times New Roman" w:cs="Times New Roman"/>
          <w:sz w:val="28"/>
          <w:szCs w:val="28"/>
        </w:rPr>
        <w:t>нностей, що забезпечить дружню і позитивну атмосферу, сприятливу для всіх дітей.</w:t>
      </w:r>
    </w:p>
    <w:p w:rsidR="00A9276A" w:rsidRDefault="00FA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Для забезпечення ефективності навчально-виховного процесу, наповнюваність інклюзивних груп має становити до 15 дітей, з них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1 - 3 дитини з особливими освітніми потр</w:t>
      </w:r>
      <w:r>
        <w:rPr>
          <w:rFonts w:ascii="Times New Roman" w:eastAsia="Times New Roman" w:hAnsi="Times New Roman" w:cs="Times New Roman"/>
          <w:sz w:val="28"/>
          <w:szCs w:val="28"/>
        </w:rPr>
        <w:t>ебами, у тому числі з інвалідністю, в залежності від складності порушення.</w:t>
      </w:r>
    </w:p>
    <w:p w:rsidR="00A9276A" w:rsidRDefault="00FA24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ab/>
        <w:t>Виховна робота з дітьми з особливими освітніми потребами, у тому числі з інвалідністю, має бути направлена на їх соціалізацію, формування позитивної самооцінки тощо. Особливістю на</w:t>
      </w:r>
      <w:r>
        <w:rPr>
          <w:rFonts w:ascii="Times New Roman" w:eastAsia="Times New Roman" w:hAnsi="Times New Roman" w:cs="Times New Roman"/>
          <w:sz w:val="28"/>
          <w:szCs w:val="28"/>
        </w:rPr>
        <w:t>вчально-виховного процесу інклюзивної групи є його індивідуалізація і диференціація. Здійснюється навчально-виховний процес в інклюзивних групах відповідно до Базового компонента дошкільної освіти за програмами та навчально-методичними посібниками, затверд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женими  в установленому порядку МОН, з урахуванням індивідуальних особливостей навчально-пізнавальної діяльності дітей з особливими освітніми потребами, у тому числі з інвалідністю. 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висновку та рекомендацій психолого-медико-педагогічної конс</w:t>
      </w:r>
      <w:r>
        <w:rPr>
          <w:rFonts w:ascii="Times New Roman" w:eastAsia="Times New Roman" w:hAnsi="Times New Roman" w:cs="Times New Roman"/>
          <w:sz w:val="28"/>
          <w:szCs w:val="28"/>
        </w:rPr>
        <w:t>ультації, група фахівців дошкільного навчального закладу (група фахівців індивідуального супроводу дитини) (вихователь-методист, вихователі, асистент вихователя, практичний психолог, вчитель-дефектолог, медична сестра та інші) із обов’язковим залученням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</w:rPr>
        <w:t>тьків дитини, або осіб, які їх замінюють, розробляють індивідуальну програму розвитку дитини з особливими освітніми потребами, у тому числі з інвалідністю та здійснюють відповідний психолого-медико-педагогічний супровід цих дітей.  Залучення батьків до нап</w:t>
      </w:r>
      <w:r>
        <w:rPr>
          <w:rFonts w:ascii="Times New Roman" w:eastAsia="Times New Roman" w:hAnsi="Times New Roman" w:cs="Times New Roman"/>
          <w:sz w:val="28"/>
          <w:szCs w:val="28"/>
        </w:rPr>
        <w:t>исання програми забезпечить їх інформування про потенційні можливості дитини, динаміку її розвитку та врегулює низку суперечливих питань, які можуть виникати між батьками та педагогами в навчально-виховному процесі. Склад групи фахівців індивідуального суп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роводу дитини визначається керівником дошкільного закладу і затверджується відповідним наказом. 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 разі необхідності на етапі вивчення дитини з особливими освітніми потребами та планування роботи з нею можуть залучатися інші фахівці інших навчальних заклад</w:t>
      </w:r>
      <w:r>
        <w:rPr>
          <w:rFonts w:ascii="Times New Roman" w:eastAsia="Times New Roman" w:hAnsi="Times New Roman" w:cs="Times New Roman"/>
          <w:sz w:val="28"/>
          <w:szCs w:val="28"/>
        </w:rPr>
        <w:t>ів, навчально-реабілітаційних центрів, психолого-медико-педагогічних консультацій тощо.</w:t>
      </w:r>
    </w:p>
    <w:p w:rsidR="00A9276A" w:rsidRDefault="00FA24E6">
      <w:pPr>
        <w:spacing w:line="274" w:lineRule="auto"/>
        <w:ind w:left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Основні завдання команди фахівців індивідуального супроводу дитини: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Збір інформації про особливості дитини, її інтереси, труднощі і обмеження, освітні потреби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метою визначення та реалізації належної підтримки, вжиття адекватних заходів, залучення додаткових фахівців.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Всебічне обговорення особливостей (труднощів) розвитку дитини з урахуванням інформації різних фахівців з метою визначення характеру та причин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відхилень в розвитку та поведінці; прийняття консолідованого рішення про специфіку змісту освіти і навчання з урахуванням рекомендацій психолого-медико-педагогічної консультації. 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З’ясування потенціалу розвитку дитини, актуалізація її позитивних особистісних  якостей.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 Розробка та реалізація Індивідуальної програми розвитку дитини. 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 Моніторинг динаміки загального психічного розвитку дитини, консультування і вирішення скла</w:t>
      </w:r>
      <w:r>
        <w:rPr>
          <w:rFonts w:ascii="Times New Roman" w:eastAsia="Times New Roman" w:hAnsi="Times New Roman" w:cs="Times New Roman"/>
          <w:sz w:val="28"/>
          <w:szCs w:val="28"/>
        </w:rPr>
        <w:t>дних, конфліктних ситуацій.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Ведення документації (щоденник спостережень), що відображає актуальний розвиток дитини, динаміку її стану, рівень шкільної успішності; збір портфоліо. 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Індивідуальна  програма  розробляється на 3 місяці, на основі програм,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тому числі спеціальних, рекомендованими МОН України для дошкільних навчальних закладів, з відповідною їх адаптацією до особливих потреб дитини і затверджується керівником дошкільного навчального закладу. З метою її коригування та доповнення, індивідуальна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програма  переглядається щомісячно.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Невід’ємною складовою процесу розроблення індивідуальної програми розвитку є оцінка динаміки розвитку дитини з особливими освітніми потребами, збирання відомостей про її успіхи (дитячі роботи, результати спостережень пе</w:t>
      </w:r>
      <w:r>
        <w:rPr>
          <w:rFonts w:ascii="Times New Roman" w:eastAsia="Times New Roman" w:hAnsi="Times New Roman" w:cs="Times New Roman"/>
          <w:sz w:val="28"/>
          <w:szCs w:val="28"/>
        </w:rPr>
        <w:t>дагогів тощо).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Оцінка динаміки розвитку дитини є індикатором ефективності навчально-виховного процесу та підґрунтям для подальшого планування цілей і завдань.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Відповідальність за реалізацію індивідуальної програми розвитку покладається на всіх членів груп</w:t>
      </w:r>
      <w:r>
        <w:rPr>
          <w:rFonts w:ascii="Times New Roman" w:eastAsia="Times New Roman" w:hAnsi="Times New Roman" w:cs="Times New Roman"/>
          <w:sz w:val="28"/>
          <w:szCs w:val="28"/>
        </w:rPr>
        <w:t>и фахівців (групи індивідуального супроводу дитини). Відстеження перебігу виконання цілей та завдань, окреслених в індивідуальній програмі розвитку, покладається на методиста дошкільного навчального закладу.</w:t>
      </w:r>
    </w:p>
    <w:p w:rsidR="00A9276A" w:rsidRDefault="00FA24E6">
      <w:pPr>
        <w:spacing w:line="27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складанні індивідуальної програми розвитку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итини педагоги в першу чергу аналізують відповідність вимог програми та методів, що використовуються на занятті, актуальним і потенційним можливостям дитини з особливими освітніми потребами. </w:t>
      </w:r>
    </w:p>
    <w:p w:rsidR="00A9276A" w:rsidRDefault="00FA24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Індивідуальна програма розвитку дитини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містить такі розділи:</w:t>
      </w:r>
    </w:p>
    <w:p w:rsidR="00A9276A" w:rsidRDefault="00FA24E6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Загальна інформація про дитину: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ім’я та прізвище, дата народження, телефони батьків, адреса проживання, проблема розвитку (інформація про особливі освітні потреби), дата зарахування дитини до дошкільного навчального закладу.</w:t>
      </w:r>
    </w:p>
    <w:p w:rsidR="00A9276A" w:rsidRDefault="00FA24E6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явний рівень розвитку дитини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(відповідно до висновку психолого-медико-педагогічною  консультації).  Група фахівців протягом 1-2 місяців (в залежності від складності порушення) вивчає можливості та потреби дитини, фіксує результати вивчення: її вміння, силь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ні якості та труднощі, у чому їй потрібна допомога; інформація щодо впливу порушень розвитку дитини на її здатність до навчання (відомості надані психолого-медико-педагогічною консультацією).          </w:t>
      </w:r>
    </w:p>
    <w:p w:rsidR="00A9276A" w:rsidRDefault="00FA24E6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Вся інформація повинна бути максимально точною, оскіль</w:t>
      </w:r>
      <w:r>
        <w:rPr>
          <w:rFonts w:ascii="Times New Roman" w:eastAsia="Times New Roman" w:hAnsi="Times New Roman" w:cs="Times New Roman"/>
          <w:sz w:val="28"/>
          <w:szCs w:val="28"/>
        </w:rPr>
        <w:t>ки вона є підґрунтям для подальшого розроблення завдань.</w:t>
      </w:r>
    </w:p>
    <w:p w:rsidR="00A9276A" w:rsidRDefault="00FA24E6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Освітні послуги</w:t>
      </w:r>
      <w:r>
        <w:rPr>
          <w:rFonts w:ascii="Times New Roman" w:eastAsia="Times New Roman" w:hAnsi="Times New Roman" w:cs="Times New Roman"/>
          <w:sz w:val="28"/>
          <w:szCs w:val="28"/>
        </w:rPr>
        <w:t>. В індивідуальній програмі розвитку дитини передбачається до 10 корекційно-розвиткових занять на тиждень в залежності від віку дитини та з урахуванням індивідуальних особливостей н</w:t>
      </w:r>
      <w:r>
        <w:rPr>
          <w:rFonts w:ascii="Times New Roman" w:eastAsia="Times New Roman" w:hAnsi="Times New Roman" w:cs="Times New Roman"/>
          <w:sz w:val="28"/>
          <w:szCs w:val="28"/>
        </w:rPr>
        <w:t>авчально-пізнавальної діяльності дітей з особливими освітніми потребами, у тому числі з інвалідністю. Фіксується розклад занять з відповідними фахівцями (вчителем-дефектологом, практичним психологом та іншими спеціалістами), вказується кількість і триваліс</w:t>
      </w:r>
      <w:r>
        <w:rPr>
          <w:rFonts w:ascii="Times New Roman" w:eastAsia="Times New Roman" w:hAnsi="Times New Roman" w:cs="Times New Roman"/>
          <w:sz w:val="28"/>
          <w:szCs w:val="28"/>
        </w:rPr>
        <w:t>ть таких занять з дитиною.</w:t>
      </w:r>
    </w:p>
    <w:p w:rsidR="00A9276A" w:rsidRDefault="00FA24E6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Адаптації/модифікації.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складанні індивідуальної програми розвитку необхідно проаналізувати, які адаптації та модифікації слід розробити для облаштування середовища, застосування належних методів, матеріалів, іграшок, облад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нання, урахування сенсорних та інших потреб дитини. </w:t>
      </w:r>
    </w:p>
    <w:p w:rsidR="00A9276A" w:rsidRDefault="00FA24E6">
      <w:pPr>
        <w:ind w:firstLine="54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Модифікація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трансформує характер подачі матеріалу шляхом зміни змісту або концептуальної складності навчального завдання. Наприклад, скорочення змісту навчального матеріалу; модифікація цілей і завдань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прийнятних для конкретної дитини, корекція завдань, визначення змісту, який необхідно засвоїти. </w:t>
      </w:r>
    </w:p>
    <w:p w:rsidR="00A9276A" w:rsidRDefault="00FA24E6">
      <w:pPr>
        <w:ind w:firstLine="53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Адаптація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змінює характер подачі матеріалу, не змінюючи зміст або концептуальну складність навчального завдання. Зокрема, можуть використовуватись такі вид</w:t>
      </w:r>
      <w:r>
        <w:rPr>
          <w:rFonts w:ascii="Times New Roman" w:eastAsia="Times New Roman" w:hAnsi="Times New Roman" w:cs="Times New Roman"/>
          <w:sz w:val="28"/>
          <w:szCs w:val="28"/>
        </w:rPr>
        <w:t>и адаптацій:</w:t>
      </w:r>
    </w:p>
    <w:p w:rsidR="00A9276A" w:rsidRDefault="00FA24E6">
      <w:pPr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пристосування середовища (збільшення інтенсивності освітлення в групових кімнатах, де є діти з порушеннями зору; зменшення рівня шуму в групі, де навчається слабочуюча дитина, забезпечення її слуховим апаратом);</w:t>
      </w:r>
    </w:p>
    <w:p w:rsidR="00A9276A" w:rsidRDefault="00FA24E6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адаптація матеріалів (ада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птація дидактичних посібників, ігрових, наочних та інших матеріалів  тощо). </w:t>
      </w:r>
    </w:p>
    <w:p w:rsidR="00A9276A" w:rsidRDefault="00FA24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особистісно-орієнтованого підходу та організації корекційно-розвиткової роботи в інклюзивній групі штатним розписом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дошкільного навчального закладу передбачається 1 ставка асистента вихователя на 1 інклюзивну групу.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9276A" w:rsidRDefault="00FA24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письмовою заявою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батьків, або осіб,  які їх замінюють, адміністрація дошкільного навчального закладу може надати дозвіл щодо участі у навчально-виховному процесі асистента дитини з особливими освітніми потребами, у тому числі з інвалідністю, волонтерів, фізичний та психіч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 здоров’я яких дозволяє здійснювати зазначену функцію на громадських засадах або за рахунок коштів громадських організацій та інших джерел, не заборонених законодавством. </w:t>
      </w:r>
    </w:p>
    <w:p w:rsidR="00A9276A" w:rsidRDefault="00FA24E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Крім того, батьки або особи, які їх замінюють, можуть самостійно виконувати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функцію асистента дитини з особливими освітніми потребами, у тому числі з інвалідністю, або визначати особу, фізичний та психічний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 здоров’я якої дозволяє здійснювати зазначену функцію на волонтерських засадах. </w:t>
      </w:r>
    </w:p>
    <w:p w:rsidR="00A9276A" w:rsidRDefault="00FA24E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Батьки, або інші особи, які здійснюют</w:t>
      </w:r>
      <w:r>
        <w:rPr>
          <w:rFonts w:ascii="Times New Roman" w:eastAsia="Times New Roman" w:hAnsi="Times New Roman" w:cs="Times New Roman"/>
          <w:sz w:val="28"/>
          <w:szCs w:val="28"/>
        </w:rPr>
        <w:t>ь функцію асистента дитини з особливими потребами, у тому числі з інвалідністю, мають проходити у встановленому законодавством порядку попередні та періодичні медичні огляди, з оформленням  особової медичної книжки встановленого зразка. Особові медичні кни</w:t>
      </w:r>
      <w:r>
        <w:rPr>
          <w:rFonts w:ascii="Times New Roman" w:eastAsia="Times New Roman" w:hAnsi="Times New Roman" w:cs="Times New Roman"/>
          <w:sz w:val="28"/>
          <w:szCs w:val="28"/>
        </w:rPr>
        <w:t>жки повинні зберігатися у медичному кабінеті.</w:t>
      </w:r>
    </w:p>
    <w:p w:rsidR="00A9276A" w:rsidRDefault="00FA2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        Засновник (власник) дошкільного навчального закладу забезпечує підготовку, перепідготовку, підвищення кваліфікації та атестацію педагогічних працівників відповідно до специфіки роботи інклюзивної групи</w:t>
      </w:r>
      <w:r>
        <w:rPr>
          <w:rFonts w:ascii="Times New Roman" w:eastAsia="Times New Roman" w:hAnsi="Times New Roman" w:cs="Times New Roman"/>
          <w:sz w:val="28"/>
          <w:szCs w:val="28"/>
        </w:rPr>
        <w:t>, сприяє провадженню інноваційної діяльності.</w:t>
      </w:r>
    </w:p>
    <w:p w:rsidR="00A9276A" w:rsidRDefault="00FA24E6">
      <w:pPr>
        <w:tabs>
          <w:tab w:val="left" w:pos="709"/>
        </w:tabs>
        <w:jc w:val="both"/>
      </w:pPr>
      <w:bookmarkStart w:id="3" w:name="h.1fob9te" w:colFirst="0" w:colLast="0"/>
      <w:bookmarkEnd w:id="3"/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76A" w:rsidRDefault="00FA24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276A" w:rsidRDefault="00A9276A">
      <w:pPr>
        <w:spacing w:line="240" w:lineRule="auto"/>
      </w:pPr>
    </w:p>
    <w:p w:rsidR="00A9276A" w:rsidRDefault="00A9276A">
      <w:pPr>
        <w:spacing w:line="240" w:lineRule="auto"/>
      </w:pPr>
    </w:p>
    <w:p w:rsidR="00A9276A" w:rsidRDefault="00A9276A">
      <w:pPr>
        <w:spacing w:line="240" w:lineRule="auto"/>
      </w:pPr>
    </w:p>
    <w:sectPr w:rsidR="00A9276A">
      <w:pgSz w:w="11906" w:h="16838"/>
      <w:pgMar w:top="851" w:right="850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A9276A"/>
    <w:rsid w:val="00A9276A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A2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A2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5.png"/><Relationship Id="rId3" Type="http://schemas.openxmlformats.org/officeDocument/2006/relationships/settings" Target="settings.xml"/><Relationship Id="rId7" Type="http://schemas.openxmlformats.org/officeDocument/2006/relationships/image" Target="media/image07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vv@minosvit.niiit.kiev.u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0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2016-01-08T19:28:00Z</dcterms:created>
  <dcterms:modified xsi:type="dcterms:W3CDTF">2016-01-08T19:28:00Z</dcterms:modified>
</cp:coreProperties>
</file>